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A5" w:rsidRPr="00C87CE9" w:rsidRDefault="00A741A5" w:rsidP="00A741A5">
      <w:pPr>
        <w:jc w:val="center"/>
        <w:rPr>
          <w:b/>
          <w:color w:val="000000"/>
          <w:sz w:val="28"/>
          <w:szCs w:val="28"/>
        </w:rPr>
      </w:pPr>
      <w:r>
        <w:rPr>
          <w:b/>
          <w:color w:val="000000"/>
          <w:sz w:val="28"/>
          <w:szCs w:val="28"/>
        </w:rPr>
        <w:t>UBND</w:t>
      </w:r>
      <w:r w:rsidRPr="00C87CE9">
        <w:rPr>
          <w:b/>
          <w:color w:val="000000"/>
          <w:sz w:val="28"/>
          <w:szCs w:val="28"/>
        </w:rPr>
        <w:t xml:space="preserve"> THÀNH PHỐ HUẾ</w:t>
      </w:r>
    </w:p>
    <w:p w:rsidR="00A741A5" w:rsidRPr="00C87CE9" w:rsidRDefault="00A741A5" w:rsidP="00A741A5">
      <w:pPr>
        <w:spacing w:before="60" w:after="60"/>
        <w:jc w:val="center"/>
        <w:rPr>
          <w:b/>
          <w:sz w:val="12"/>
          <w:szCs w:val="28"/>
        </w:rPr>
      </w:pPr>
    </w:p>
    <w:p w:rsidR="00A741A5" w:rsidRPr="00C87CE9" w:rsidRDefault="00A741A5" w:rsidP="00A741A5">
      <w:pPr>
        <w:spacing w:before="60" w:after="60"/>
        <w:jc w:val="center"/>
        <w:rPr>
          <w:b/>
          <w:sz w:val="28"/>
          <w:szCs w:val="28"/>
        </w:rPr>
      </w:pPr>
      <w:r w:rsidRPr="00C87CE9">
        <w:rPr>
          <w:b/>
          <w:sz w:val="28"/>
          <w:szCs w:val="28"/>
        </w:rPr>
        <w:t>THAM L</w:t>
      </w:r>
      <w:bookmarkStart w:id="0" w:name="_GoBack"/>
      <w:bookmarkEnd w:id="0"/>
      <w:r w:rsidRPr="00C87CE9">
        <w:rPr>
          <w:b/>
          <w:sz w:val="28"/>
          <w:szCs w:val="28"/>
        </w:rPr>
        <w:t xml:space="preserve">UẬN </w:t>
      </w:r>
    </w:p>
    <w:p w:rsidR="00A741A5" w:rsidRPr="00C87CE9" w:rsidRDefault="00A741A5" w:rsidP="00A741A5">
      <w:pPr>
        <w:spacing w:before="60" w:after="60"/>
        <w:jc w:val="center"/>
        <w:rPr>
          <w:sz w:val="28"/>
          <w:szCs w:val="28"/>
        </w:rPr>
      </w:pPr>
      <w:r w:rsidRPr="00C87CE9">
        <w:rPr>
          <w:b/>
          <w:bCs/>
          <w:sz w:val="28"/>
          <w:szCs w:val="28"/>
        </w:rPr>
        <w:t xml:space="preserve">Nội dung: “Tiếp nhận nhiệm vụ lao động, người có công và xã hội về thực hiện </w:t>
      </w:r>
      <w:r w:rsidRPr="00C87CE9">
        <w:rPr>
          <w:b/>
          <w:sz w:val="28"/>
          <w:szCs w:val="28"/>
        </w:rPr>
        <w:t>Nghị quyết số 1264/NQ-UBTVQH14 ngày 27/4/2021 của Ủy ban Thường vụ Quốc hội về việc điều chỉnh địa giới hành chính các đơn vị hành chính cấp huyện và sắp xếp, thành lập các phường thuộc thành phố Huế, tỉnh Thừa Thiên Huế”</w:t>
      </w:r>
    </w:p>
    <w:p w:rsidR="00A741A5" w:rsidRPr="00C87CE9" w:rsidRDefault="00A741A5" w:rsidP="00A741A5">
      <w:pPr>
        <w:spacing w:before="60" w:after="60"/>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2344420</wp:posOffset>
                </wp:positionH>
                <wp:positionV relativeFrom="paragraph">
                  <wp:posOffset>-3810</wp:posOffset>
                </wp:positionV>
                <wp:extent cx="1062990" cy="0"/>
                <wp:effectExtent l="5080" t="8890" r="825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7EAFA" id="_x0000_t32" coordsize="21600,21600" o:spt="32" o:oned="t" path="m,l21600,21600e" filled="f">
                <v:path arrowok="t" fillok="f" o:connecttype="none"/>
                <o:lock v:ext="edit" shapetype="t"/>
              </v:shapetype>
              <v:shape id="Straight Arrow Connector 1" o:spid="_x0000_s1026" type="#_x0000_t32" style="position:absolute;margin-left:184.6pt;margin-top:-.3pt;width:8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FK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ms8ligY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"/>
            </w:pict>
          </mc:Fallback>
        </mc:AlternateContent>
      </w:r>
    </w:p>
    <w:p w:rsidR="00A741A5" w:rsidRPr="00C87CE9" w:rsidRDefault="00A741A5" w:rsidP="00A741A5">
      <w:pPr>
        <w:tabs>
          <w:tab w:val="left" w:pos="567"/>
          <w:tab w:val="left" w:pos="720"/>
        </w:tabs>
        <w:spacing w:before="60" w:after="60"/>
        <w:jc w:val="both"/>
        <w:rPr>
          <w:sz w:val="28"/>
          <w:szCs w:val="28"/>
        </w:rPr>
      </w:pPr>
      <w:r w:rsidRPr="00C87CE9">
        <w:rPr>
          <w:sz w:val="28"/>
          <w:szCs w:val="28"/>
        </w:rPr>
        <w:tab/>
        <w:t>Thực hiện Nghị quyết 1264/NQ-UBTVQH14 ngày 27/4/2021 của Ủy ban Thường vụ Quốc hội về việc điều chỉnh địa giới hành chính các đơn vị hành chính các đơn vị hành chính cấp huyện và sắp xếp, thành lập các phường thuộc thành phố Huế, tỉnh Thừa Thiên Huế; Phòng đã cơ bản hoàn thành việc giao nhận đảm bảo các hoạt động trên lĩnh vực LĐTBXH được thông suốt, kịp thời.</w:t>
      </w:r>
    </w:p>
    <w:p w:rsidR="00A741A5" w:rsidRPr="00C87CE9" w:rsidRDefault="00A741A5" w:rsidP="00A741A5">
      <w:pPr>
        <w:tabs>
          <w:tab w:val="left" w:pos="567"/>
        </w:tabs>
        <w:spacing w:before="60" w:after="60"/>
        <w:ind w:firstLine="567"/>
        <w:jc w:val="both"/>
        <w:rPr>
          <w:sz w:val="28"/>
          <w:szCs w:val="28"/>
        </w:rPr>
      </w:pPr>
      <w:r w:rsidRPr="00C87CE9">
        <w:rPr>
          <w:b/>
          <w:sz w:val="28"/>
          <w:szCs w:val="28"/>
        </w:rPr>
        <w:t xml:space="preserve">Về số liệu tăng thêm sau sáp nhập </w:t>
      </w:r>
      <w:r w:rsidRPr="00C87CE9">
        <w:rPr>
          <w:sz w:val="28"/>
          <w:szCs w:val="28"/>
          <w:shd w:val="clear" w:color="auto" w:fill="FFFFFF"/>
        </w:rPr>
        <w:t>13 phường, xã vào thành phố Huế (bao gồm: Hải Dương, Hương An, Hương Hồ, Hương Phong, Hương Thọ, Hương Vinh thuộc thị xã Hương Trà; Thủy Bằng, Thủy Vân thuộc thị xã Hương Thủy; Phú Dương, Phú Mậu, Phú Thanh, Phú Thượng, Thuận An thuộc huyện Phú Vang)</w:t>
      </w:r>
      <w:r w:rsidRPr="00C87CE9">
        <w:rPr>
          <w:sz w:val="28"/>
          <w:szCs w:val="28"/>
        </w:rPr>
        <w:t>:</w:t>
      </w:r>
    </w:p>
    <w:p w:rsidR="00A741A5" w:rsidRPr="00C87CE9" w:rsidRDefault="00A741A5" w:rsidP="00A741A5">
      <w:pPr>
        <w:tabs>
          <w:tab w:val="left" w:pos="709"/>
        </w:tabs>
        <w:spacing w:before="60" w:after="60"/>
        <w:ind w:firstLine="567"/>
        <w:jc w:val="both"/>
        <w:rPr>
          <w:sz w:val="28"/>
          <w:szCs w:val="28"/>
        </w:rPr>
      </w:pPr>
      <w:r w:rsidRPr="00C87CE9">
        <w:rPr>
          <w:sz w:val="28"/>
          <w:szCs w:val="28"/>
        </w:rPr>
        <w:t>- Hộ nghèo tăng 886 hộ, nâng tổng số hộ nghèo toàn Thành phố 2.089 hộ.</w:t>
      </w:r>
    </w:p>
    <w:p w:rsidR="00A741A5" w:rsidRPr="00C87CE9" w:rsidRDefault="00A741A5" w:rsidP="00A741A5">
      <w:pPr>
        <w:tabs>
          <w:tab w:val="left" w:pos="567"/>
        </w:tabs>
        <w:spacing w:before="60" w:after="60"/>
        <w:ind w:firstLine="567"/>
        <w:jc w:val="both"/>
        <w:rPr>
          <w:sz w:val="28"/>
          <w:szCs w:val="28"/>
        </w:rPr>
      </w:pPr>
      <w:r w:rsidRPr="00C87CE9">
        <w:rPr>
          <w:sz w:val="28"/>
          <w:szCs w:val="28"/>
        </w:rPr>
        <w:t>- Hộ cận nghèo tăng 1.420 hộ, nâng tổng số hộ cận nghèo toàn TP 3.111 hộ.</w:t>
      </w:r>
    </w:p>
    <w:p w:rsidR="00A741A5" w:rsidRPr="00C87CE9" w:rsidRDefault="00A741A5" w:rsidP="00A741A5">
      <w:pPr>
        <w:tabs>
          <w:tab w:val="left" w:pos="567"/>
        </w:tabs>
        <w:spacing w:before="60" w:after="60"/>
        <w:ind w:firstLine="567"/>
        <w:jc w:val="both"/>
        <w:rPr>
          <w:sz w:val="28"/>
          <w:szCs w:val="28"/>
        </w:rPr>
      </w:pPr>
      <w:r w:rsidRPr="00C87CE9">
        <w:rPr>
          <w:sz w:val="28"/>
          <w:szCs w:val="28"/>
        </w:rPr>
        <w:t>- Đối tượng BTXH tăng 5.833 người, nâng tổng số đối tượng BTXH toàn TP lên 19.392 người.</w:t>
      </w:r>
    </w:p>
    <w:p w:rsidR="00A741A5" w:rsidRPr="00C87CE9" w:rsidRDefault="00A741A5" w:rsidP="00A741A5">
      <w:pPr>
        <w:tabs>
          <w:tab w:val="left" w:pos="567"/>
        </w:tabs>
        <w:spacing w:before="60" w:after="60"/>
        <w:ind w:firstLine="567"/>
        <w:jc w:val="both"/>
        <w:rPr>
          <w:sz w:val="28"/>
          <w:szCs w:val="28"/>
        </w:rPr>
      </w:pPr>
      <w:r w:rsidRPr="00C87CE9">
        <w:rPr>
          <w:sz w:val="28"/>
          <w:szCs w:val="28"/>
        </w:rPr>
        <w:t>- Đối tượng CSCC tăng 448 người, nâng tổng số đối tượng CSCC trên toàn TP lên 3.546 người.</w:t>
      </w:r>
    </w:p>
    <w:p w:rsidR="00A741A5" w:rsidRPr="00C87CE9" w:rsidRDefault="00A741A5" w:rsidP="00A741A5">
      <w:pPr>
        <w:spacing w:before="60" w:after="60"/>
        <w:ind w:firstLine="567"/>
        <w:jc w:val="both"/>
        <w:rPr>
          <w:sz w:val="28"/>
          <w:szCs w:val="28"/>
          <w:shd w:val="clear" w:color="auto" w:fill="FFFFFF"/>
        </w:rPr>
      </w:pPr>
      <w:r w:rsidRPr="00C87CE9">
        <w:rPr>
          <w:sz w:val="28"/>
          <w:szCs w:val="28"/>
        </w:rPr>
        <w:t xml:space="preserve">Theo đó, Phòng đã </w:t>
      </w:r>
      <w:r w:rsidRPr="00C87CE9">
        <w:rPr>
          <w:sz w:val="28"/>
          <w:szCs w:val="28"/>
          <w:shd w:val="clear" w:color="auto" w:fill="FFFFFF"/>
        </w:rPr>
        <w:t xml:space="preserve">tham mưu kịp thời UBND Thành phố quyết định chuyển mức và hệ số tương ứng đối với đối tượng bảo trợ xã hội đang hưởng trợ cấp xã hội, hỗ trợ kinh phí chăm sóc hàng tháng theo quy định tại khoản 1 Điều 37 Nghị định số 20/2021/NĐ-CP đối với </w:t>
      </w:r>
      <w:r w:rsidRPr="00C87CE9">
        <w:rPr>
          <w:b/>
          <w:sz w:val="28"/>
          <w:szCs w:val="28"/>
          <w:shd w:val="clear" w:color="auto" w:fill="FFFFFF"/>
        </w:rPr>
        <w:t>19.392</w:t>
      </w:r>
      <w:r w:rsidRPr="00C87CE9">
        <w:rPr>
          <w:sz w:val="28"/>
          <w:szCs w:val="28"/>
          <w:shd w:val="clear" w:color="auto" w:fill="FFFFFF"/>
        </w:rPr>
        <w:t xml:space="preserve"> đối tượng bảo trợ xã hội đang hưởng trợ cấp xã hội, hỗ trợ kinh phí chăm sóc, nuôi dưỡng hàng tháng trên địa bàn Thành phố kể từ ngày </w:t>
      </w:r>
      <w:r w:rsidRPr="00C87CE9">
        <w:rPr>
          <w:b/>
          <w:sz w:val="28"/>
          <w:szCs w:val="28"/>
          <w:shd w:val="clear" w:color="auto" w:fill="FFFFFF"/>
        </w:rPr>
        <w:t>01/7/2021.</w:t>
      </w:r>
    </w:p>
    <w:p w:rsidR="00A741A5" w:rsidRPr="00C87CE9" w:rsidRDefault="00A741A5" w:rsidP="00A741A5">
      <w:pPr>
        <w:spacing w:before="60" w:after="60"/>
        <w:ind w:firstLine="567"/>
        <w:jc w:val="both"/>
        <w:rPr>
          <w:color w:val="000000"/>
          <w:sz w:val="28"/>
          <w:szCs w:val="28"/>
          <w:shd w:val="clear" w:color="auto" w:fill="FFFFFF"/>
        </w:rPr>
      </w:pPr>
      <w:r w:rsidRPr="00C87CE9">
        <w:rPr>
          <w:color w:val="000000"/>
          <w:sz w:val="28"/>
          <w:szCs w:val="28"/>
          <w:shd w:val="clear" w:color="auto" w:fill="FFFFFF"/>
        </w:rPr>
        <w:t xml:space="preserve">Trên cơ sở tham mưu của Phòng LĐTB&amp;XH, UBND Thành phố cũng đã ban hành Quyết định điều chỉnh tên đơn vị hành chính của </w:t>
      </w:r>
      <w:r w:rsidRPr="00C87CE9">
        <w:rPr>
          <w:b/>
          <w:color w:val="000000"/>
          <w:sz w:val="28"/>
          <w:szCs w:val="28"/>
          <w:shd w:val="clear" w:color="auto" w:fill="FFFFFF"/>
        </w:rPr>
        <w:t>2.849</w:t>
      </w:r>
      <w:r w:rsidRPr="00C87CE9">
        <w:rPr>
          <w:color w:val="000000"/>
          <w:sz w:val="28"/>
          <w:szCs w:val="28"/>
          <w:shd w:val="clear" w:color="auto" w:fill="FFFFFF"/>
        </w:rPr>
        <w:t xml:space="preserve"> đối tượng bảo trợ xã hội đang hưởng trợ cấp xã hội/hỗ trợ kinh phí chăm sóc, nuôi dưỡng hàng tháng thuộc 9 phường: Phú Bình, Phú Cát, Phú Hiệp, Phú Hòa, Phú Thuận, Tây Lộc, Thuận Hòa, Thuận Lộc và Thuận Thành thành tên đơn vị hành chính theo quy định tại Nghị quyết số 1264/NQ-UBTVQH14. Bên cạnh đó, thực hiện </w:t>
      </w:r>
      <w:r w:rsidRPr="00C87CE9">
        <w:rPr>
          <w:color w:val="000000"/>
          <w:sz w:val="28"/>
          <w:szCs w:val="28"/>
          <w:bdr w:val="none" w:sz="0" w:space="0" w:color="auto" w:frame="1"/>
          <w:shd w:val="clear" w:color="auto" w:fill="FFFFFF"/>
        </w:rPr>
        <w:t>Kế hoạch số 297/KH-UBND ngày 29/9/2021 của UBND tỉnh</w:t>
      </w:r>
      <w:r w:rsidRPr="00C87CE9">
        <w:rPr>
          <w:color w:val="000000"/>
          <w:sz w:val="28"/>
          <w:szCs w:val="28"/>
          <w:shd w:val="clear" w:color="auto" w:fill="FFFFFF"/>
        </w:rPr>
        <w:t>, UBND thành phố đã xây dựng Kế hoạch và đang đôn đốc, chỉ đạo UBND các phường, xã phối hợp với Phòng LĐTB&amp;XH và các đơn vị cung ứng dịch vụ (Bưu điện, ViettinBank, ViettelPay) tích cực đẩy mạnh việc mở tài khoản cho đối tượng nhằm triển khai thực hiện chi trả chính sách trợ giúp xã hội bằng phương thức điện tử trên địa bàn thành phố.</w:t>
      </w:r>
    </w:p>
    <w:p w:rsidR="00A741A5" w:rsidRPr="00C87CE9" w:rsidRDefault="00A741A5" w:rsidP="00A741A5">
      <w:pPr>
        <w:spacing w:before="60" w:after="60"/>
        <w:ind w:firstLine="567"/>
        <w:jc w:val="both"/>
        <w:rPr>
          <w:sz w:val="28"/>
          <w:szCs w:val="28"/>
        </w:rPr>
      </w:pPr>
      <w:r w:rsidRPr="00C87CE9">
        <w:rPr>
          <w:sz w:val="28"/>
          <w:szCs w:val="28"/>
        </w:rPr>
        <w:lastRenderedPageBreak/>
        <w:t xml:space="preserve">Phòng cũng đã giải quyết kịp thời 4.263 hồ sơ trợ giúp xã hội; Chi trả chế độ chính sách cho các đối tượng chính sách có công và bảo trợ xã hội kịp thời vào ngày 05 tháng 7 năm 2021, đảm bảo các chế độ chính sách cho các đối tượng. Tăng cường việc hướng dẫn, bồi dưỡng về chuyên môn, nghiệp vụ và công tác cải cách hành chính cho CB-CC LĐTBXH 13 phường, xã mới được sáp nhập vào Thành phố, kịp thời nắm bắt và xử lý hồ sơ qua môi trường mạng theo yêu cầu CCHC của UBND Thành phố. Tăng cường công tác về cơ sở kiểm tra, nắm bắt tình hình, hướng dẫn, xử lý kịp thời các vướng mắc tại các phường, xã mới sáp nhập. </w:t>
      </w:r>
    </w:p>
    <w:p w:rsidR="00A741A5" w:rsidRPr="00C87CE9" w:rsidRDefault="00A741A5" w:rsidP="00A741A5">
      <w:pPr>
        <w:tabs>
          <w:tab w:val="left" w:pos="567"/>
        </w:tabs>
        <w:spacing w:before="60" w:after="60"/>
        <w:jc w:val="both"/>
        <w:rPr>
          <w:sz w:val="28"/>
          <w:szCs w:val="28"/>
        </w:rPr>
      </w:pPr>
      <w:r w:rsidRPr="00C87CE9">
        <w:rPr>
          <w:b/>
          <w:sz w:val="28"/>
          <w:szCs w:val="28"/>
        </w:rPr>
        <w:tab/>
      </w:r>
      <w:r w:rsidRPr="00C87CE9">
        <w:rPr>
          <w:sz w:val="28"/>
          <w:szCs w:val="28"/>
        </w:rPr>
        <w:t xml:space="preserve">Thực hiện Nghị quyết số 68/NQ-CP, Quyết định số 23/2021/QĐ-TTg và </w:t>
      </w:r>
      <w:r w:rsidRPr="00C87CE9">
        <w:rPr>
          <w:sz w:val="28"/>
          <w:szCs w:val="28"/>
          <w:lang w:val="af-ZA"/>
        </w:rPr>
        <w:t>và Nghị quyết 84/NQ-HĐND của Hội đồng nhân dân tỉnh</w:t>
      </w:r>
      <w:r w:rsidRPr="00C87CE9">
        <w:rPr>
          <w:sz w:val="28"/>
          <w:szCs w:val="28"/>
        </w:rPr>
        <w:t xml:space="preserve">; UBND Thành phố </w:t>
      </w:r>
      <w:r w:rsidRPr="00C87CE9">
        <w:rPr>
          <w:bCs/>
          <w:sz w:val="28"/>
          <w:szCs w:val="28"/>
        </w:rPr>
        <w:t>đã c</w:t>
      </w:r>
      <w:r w:rsidRPr="00C87CE9">
        <w:rPr>
          <w:bCs/>
          <w:sz w:val="28"/>
          <w:szCs w:val="28"/>
          <w:lang w:val="af-ZA"/>
        </w:rPr>
        <w:t xml:space="preserve">hỉ đạo UBND các phường, xã </w:t>
      </w:r>
      <w:bookmarkStart w:id="1" w:name="_Hlk81809586"/>
      <w:r w:rsidRPr="00C87CE9">
        <w:rPr>
          <w:bCs/>
          <w:sz w:val="28"/>
          <w:szCs w:val="28"/>
          <w:lang w:val="af-ZA"/>
        </w:rPr>
        <w:t xml:space="preserve">rà soát, thống kê số lượng người lao động, hộ kinh doanh thuộc diện hỗ trợ theo Nghị quyết số </w:t>
      </w:r>
      <w:bookmarkEnd w:id="1"/>
      <w:r w:rsidRPr="00C87CE9">
        <w:rPr>
          <w:bCs/>
          <w:sz w:val="28"/>
          <w:szCs w:val="28"/>
          <w:lang w:val="af-ZA"/>
        </w:rPr>
        <w:t xml:space="preserve">68/NQ-CP và nhóm lao động không có giao kết hợp đồng để hỗ trợ theo đúng quy định. Đến thời điểm này, </w:t>
      </w:r>
      <w:r w:rsidRPr="00C87CE9">
        <w:rPr>
          <w:sz w:val="28"/>
          <w:szCs w:val="28"/>
        </w:rPr>
        <w:t xml:space="preserve">UBND thành phố đã triển khai hỗ trợ cho tổng số 7.114 đối tượng yếu thế, hộ nghèo, </w:t>
      </w:r>
      <w:r w:rsidRPr="00C87CE9">
        <w:rPr>
          <w:bCs/>
          <w:sz w:val="28"/>
          <w:szCs w:val="28"/>
        </w:rPr>
        <w:t xml:space="preserve">đối tượng đang được chăm sóc, nuôi dưỡng tại các cơ sở trợ giúp xã hội ngoài công lập, </w:t>
      </w:r>
      <w:r w:rsidRPr="00C87CE9">
        <w:rPr>
          <w:sz w:val="28"/>
          <w:szCs w:val="28"/>
        </w:rPr>
        <w:t>người lao động tự do (lượm ve chai, bán vé số, bốc vác, làm thuê và tự làm trong các ngành dịch vụ, du lịch...)… với tổng kinh phí 11.213.035.000 đồng.</w:t>
      </w:r>
    </w:p>
    <w:p w:rsidR="00A741A5" w:rsidRPr="00C87CE9" w:rsidRDefault="00A741A5" w:rsidP="00A741A5">
      <w:pPr>
        <w:tabs>
          <w:tab w:val="left" w:pos="567"/>
        </w:tabs>
        <w:spacing w:before="60" w:after="60"/>
        <w:jc w:val="both"/>
        <w:rPr>
          <w:sz w:val="28"/>
          <w:szCs w:val="28"/>
        </w:rPr>
      </w:pPr>
      <w:r w:rsidRPr="00C87CE9">
        <w:rPr>
          <w:sz w:val="28"/>
          <w:szCs w:val="28"/>
        </w:rPr>
        <w:tab/>
        <w:t>Phối hợp với các đơn vị đào tạo nghề trên địa bàn tăng cường công tác tư vấn, tuyển sinh lao động tham gia học các ngành nghề mới, tạo thêm nhiều việc làm cho người lao động, đặc biệt là khu vực TĐC KV1 di tích và các phường, xã mới sáp nhập. Tập trung đẩy mạnh công tác xuất khẩu lao động. Thực hiện tốt cuộc điều tra cung cầu lao động để có cơ sở xây dựng kế hoạch về LĐVL năm 2022 và giai đoạn 2022-2025.</w:t>
      </w:r>
    </w:p>
    <w:p w:rsidR="00A741A5" w:rsidRPr="00C87CE9" w:rsidRDefault="00A741A5" w:rsidP="00A741A5">
      <w:pPr>
        <w:tabs>
          <w:tab w:val="left" w:pos="709"/>
        </w:tabs>
        <w:spacing w:before="60" w:after="60"/>
        <w:ind w:firstLine="567"/>
        <w:jc w:val="both"/>
        <w:rPr>
          <w:sz w:val="28"/>
          <w:szCs w:val="28"/>
        </w:rPr>
      </w:pPr>
      <w:r w:rsidRPr="00C87CE9">
        <w:rPr>
          <w:sz w:val="28"/>
          <w:szCs w:val="28"/>
        </w:rPr>
        <w:t xml:space="preserve">Triển khai việc chi trả chế độ CSCC qua Bưu điện từ ngày 01/9/2021 theo chủ trương của Tỉnh. Quan tâm đến đời sống các gia đình chính sách có công gặp khó khăn trong đại dịch COVID-19. Kiểm tra, giám sát việc chi trả hằng tháng và lưu ý việc đảm bảo an toàn trong quá trình nhận, cấp phát chế độ chính sách; thực hiện tốt công tác thu quỹ Đền ơn đáp nghĩa năm 2021. Làm tốt công tác sửa chữa, xây dựng nhà cho các gia đình chính sách; trong năm đã triển khai 44 nhà gồm 39 nhà sửa chữa và 5 nhà xây dựng mới; Xây dựng, sửa chữa 29 nhà cho các gia đình hộ nghèo gồm 10 nhà xây dựng mới và 19 nhà sửa chữa. Triển khai tốt công tác điều tra về người khuyết tật để nắm chắc số liệu người khuyết tật trên địa bàn đặc biệt là số liệu sau khi sáp nhập thêm 13 phường, xã và triển khai tốt cuộc Tổng điều tra rà soát hộ nghèo, cận nghèo theo chuẩn mới áp dụng cho giai đoạn 2022-2025 và đang tiếp tục đẩy nhanh tiến độ Cung-Cầu lao động; Triển khai các biện pháp phòng chống xâm hại trẻ em, phòng chống đuối nước trong mùa hè và mùa mưa bão. Làm tốt công tác phòng chống tội phạm, tệ nạn xã hội nhất là ma túy, mại dâm. </w:t>
      </w:r>
    </w:p>
    <w:p w:rsidR="00A741A5" w:rsidRPr="00C87CE9" w:rsidRDefault="00A741A5" w:rsidP="00A741A5">
      <w:pPr>
        <w:tabs>
          <w:tab w:val="left" w:pos="709"/>
        </w:tabs>
        <w:spacing w:before="60" w:after="60"/>
        <w:ind w:firstLine="567"/>
        <w:jc w:val="both"/>
        <w:rPr>
          <w:sz w:val="28"/>
          <w:szCs w:val="28"/>
        </w:rPr>
      </w:pPr>
      <w:r w:rsidRPr="00C87CE9">
        <w:rPr>
          <w:sz w:val="28"/>
          <w:szCs w:val="28"/>
        </w:rPr>
        <w:t xml:space="preserve">Địa bàn thành phố được mở rộng trong bối cảnh dịch Covid -19 diễn biến phức tạp và phải thực hiện công tác điều tra với nhiều phần mềm khác nhau trong thời gian quá gấp rút ở những tháng cuối năm, cán bộ cơ sở gặp nhiều áp lực và </w:t>
      </w:r>
      <w:r w:rsidRPr="00C87CE9">
        <w:rPr>
          <w:sz w:val="28"/>
          <w:szCs w:val="28"/>
        </w:rPr>
        <w:lastRenderedPageBreak/>
        <w:t>khó khăn khi thực hiện nhiệm vụ vừa chống dịch, vừa phải thực hiện tốt công tác an sinh xã hội.</w:t>
      </w:r>
    </w:p>
    <w:p w:rsidR="00A741A5" w:rsidRPr="00C87CE9" w:rsidRDefault="00A741A5" w:rsidP="00A741A5">
      <w:pPr>
        <w:tabs>
          <w:tab w:val="left" w:pos="709"/>
        </w:tabs>
        <w:spacing w:before="60" w:after="60"/>
        <w:ind w:firstLine="567"/>
        <w:jc w:val="both"/>
        <w:rPr>
          <w:sz w:val="28"/>
          <w:szCs w:val="28"/>
        </w:rPr>
      </w:pPr>
      <w:r w:rsidRPr="00C87CE9">
        <w:rPr>
          <w:sz w:val="28"/>
          <w:szCs w:val="28"/>
        </w:rPr>
        <w:t xml:space="preserve">Do đó, để thực hiện tốt </w:t>
      </w:r>
      <w:r w:rsidRPr="00C87CE9">
        <w:rPr>
          <w:bCs/>
          <w:sz w:val="28"/>
          <w:szCs w:val="28"/>
        </w:rPr>
        <w:t xml:space="preserve">nhiệm vụ lao động, người có công và xã hội về thực hiện </w:t>
      </w:r>
      <w:r w:rsidRPr="00C87CE9">
        <w:rPr>
          <w:sz w:val="28"/>
          <w:szCs w:val="28"/>
        </w:rPr>
        <w:t>Nghị quyết số 1264/NQ-UBTVQH14 ngày 27/4/2021 của Ủy ban Thường vụ Quốc hội về việc điều chỉnh địa giới hành chính các đơn vị hành chính cấp huyện và sắp xếp, thành lập các phường thuộc thành phố Huế, tỉnh Thừa Thiên Huế”, đòi hỏi nỗ lực rất lớn của cả hệ thống chính trị, sự lãnh chỉ đạo sát sao của Thành ủy, UBND thành phố, sự quyết tâm và đồng lòng của cán bộ chuyên trách từ cấp thành phố đến cơ sở cả về tâm huyết, thời gian và công sức; mỗi cán bộ, công chức đã phải vượt qua khó khăn, trở ngại để hoàn thành tốt nhiệm vụ trong năm 2021 vừa qua.</w:t>
      </w:r>
    </w:p>
    <w:p w:rsidR="00A741A5" w:rsidRPr="00C87CE9" w:rsidRDefault="00A741A5" w:rsidP="00A741A5">
      <w:pPr>
        <w:tabs>
          <w:tab w:val="left" w:pos="709"/>
        </w:tabs>
        <w:spacing w:before="60" w:after="60"/>
        <w:ind w:firstLine="567"/>
        <w:jc w:val="both"/>
        <w:rPr>
          <w:sz w:val="28"/>
          <w:szCs w:val="28"/>
        </w:rPr>
      </w:pPr>
      <w:r w:rsidRPr="00C87CE9">
        <w:rPr>
          <w:sz w:val="28"/>
          <w:szCs w:val="28"/>
        </w:rPr>
        <w:t xml:space="preserve">Với một khối lượng công việc và trọng trách lớn trong khi nguồn nhân lực không được tăng thêm; ngành LĐTBXH thành phố mong tiếp tục nhận được sự quan tâm, hỗ trợ nhiều hơn nữa từ các sở, ngành cấp tỉnh để giúp thành phố hoàn thành tốt mọi nhiệm vụ được Đảng và Nhà nước giao./.         </w:t>
      </w:r>
    </w:p>
    <w:p w:rsidR="00EE659F" w:rsidRDefault="00EE659F"/>
    <w:sectPr w:rsidR="00EE659F" w:rsidSect="004F013C">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3C" w:rsidRDefault="004F013C" w:rsidP="004F013C">
      <w:r>
        <w:separator/>
      </w:r>
    </w:p>
  </w:endnote>
  <w:endnote w:type="continuationSeparator" w:id="0">
    <w:p w:rsidR="004F013C" w:rsidRDefault="004F013C" w:rsidP="004F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3C" w:rsidRDefault="004F013C" w:rsidP="004F013C">
      <w:r>
        <w:separator/>
      </w:r>
    </w:p>
  </w:footnote>
  <w:footnote w:type="continuationSeparator" w:id="0">
    <w:p w:rsidR="004F013C" w:rsidRDefault="004F013C" w:rsidP="004F0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894369"/>
      <w:docPartObj>
        <w:docPartGallery w:val="Page Numbers (Top of Page)"/>
        <w:docPartUnique/>
      </w:docPartObj>
    </w:sdtPr>
    <w:sdtEndPr>
      <w:rPr>
        <w:noProof/>
      </w:rPr>
    </w:sdtEndPr>
    <w:sdtContent>
      <w:p w:rsidR="004F013C" w:rsidRDefault="004F013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F013C" w:rsidRDefault="004F0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A5"/>
    <w:rsid w:val="00106D3E"/>
    <w:rsid w:val="002820AC"/>
    <w:rsid w:val="002A6F34"/>
    <w:rsid w:val="004F013C"/>
    <w:rsid w:val="00787DF3"/>
    <w:rsid w:val="00880B3A"/>
    <w:rsid w:val="00A741A5"/>
    <w:rsid w:val="00EE659F"/>
    <w:rsid w:val="00F2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541B1-A82E-470B-8203-43AB6BD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A5"/>
    <w:pPr>
      <w:spacing w:before="0" w:after="0" w:line="240" w:lineRule="auto"/>
    </w:pPr>
    <w:rPr>
      <w:rFonts w:eastAsia="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13C"/>
    <w:pPr>
      <w:tabs>
        <w:tab w:val="center" w:pos="4680"/>
        <w:tab w:val="right" w:pos="9360"/>
      </w:tabs>
    </w:pPr>
  </w:style>
  <w:style w:type="character" w:customStyle="1" w:styleId="HeaderChar">
    <w:name w:val="Header Char"/>
    <w:basedOn w:val="DefaultParagraphFont"/>
    <w:link w:val="Header"/>
    <w:uiPriority w:val="99"/>
    <w:rsid w:val="004F013C"/>
    <w:rPr>
      <w:rFonts w:eastAsia="Times New Roman"/>
      <w:sz w:val="26"/>
      <w:szCs w:val="24"/>
    </w:rPr>
  </w:style>
  <w:style w:type="paragraph" w:styleId="Footer">
    <w:name w:val="footer"/>
    <w:basedOn w:val="Normal"/>
    <w:link w:val="FooterChar"/>
    <w:uiPriority w:val="99"/>
    <w:unhideWhenUsed/>
    <w:rsid w:val="004F013C"/>
    <w:pPr>
      <w:tabs>
        <w:tab w:val="center" w:pos="4680"/>
        <w:tab w:val="right" w:pos="9360"/>
      </w:tabs>
    </w:pPr>
  </w:style>
  <w:style w:type="character" w:customStyle="1" w:styleId="FooterChar">
    <w:name w:val="Footer Char"/>
    <w:basedOn w:val="DefaultParagraphFont"/>
    <w:link w:val="Footer"/>
    <w:uiPriority w:val="99"/>
    <w:rsid w:val="004F013C"/>
    <w:rPr>
      <w:rFonts w:eastAsia="Times New Roman"/>
      <w:sz w:val="26"/>
      <w:szCs w:val="24"/>
    </w:rPr>
  </w:style>
  <w:style w:type="paragraph" w:styleId="BalloonText">
    <w:name w:val="Balloon Text"/>
    <w:basedOn w:val="Normal"/>
    <w:link w:val="BalloonTextChar"/>
    <w:uiPriority w:val="99"/>
    <w:semiHidden/>
    <w:unhideWhenUsed/>
    <w:rsid w:val="004F0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2022-01-14T07:15:00Z</cp:lastPrinted>
  <dcterms:created xsi:type="dcterms:W3CDTF">2022-01-14T04:10:00Z</dcterms:created>
  <dcterms:modified xsi:type="dcterms:W3CDTF">2022-01-14T07:16:00Z</dcterms:modified>
</cp:coreProperties>
</file>